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FC409A" w14:textId="3B97AFED" w:rsidR="004F6B53" w:rsidRPr="008938EC" w:rsidRDefault="008938EC" w:rsidP="008938EC">
      <w:pPr>
        <w:jc w:val="center"/>
        <w:rPr>
          <w:b/>
          <w:bCs/>
        </w:rPr>
      </w:pPr>
      <w:r w:rsidRPr="008938EC">
        <w:rPr>
          <w:b/>
          <w:bCs/>
        </w:rPr>
        <w:t>Answers</w:t>
      </w:r>
    </w:p>
    <w:p w14:paraId="4D472684" w14:textId="0456E25C" w:rsidR="004F6B53" w:rsidRDefault="00927FF6">
      <w:r>
        <w:t>Please a</w:t>
      </w:r>
      <w:r w:rsidR="004F6B53">
        <w:t xml:space="preserve">nswer each of the following questions </w:t>
      </w:r>
      <w:r>
        <w:t xml:space="preserve">(to best of ability) </w:t>
      </w:r>
      <w:r w:rsidR="004F6B53">
        <w:t xml:space="preserve">and submit iSubmit as a Microsoft Word file or as an Adobe .pdf file. </w:t>
      </w:r>
      <w:r w:rsidR="001C39D1">
        <w:t xml:space="preserve">Please save the file I send you and, for multiple choice questions, </w:t>
      </w:r>
      <w:r w:rsidR="001C39D1" w:rsidRPr="001C39D1">
        <w:rPr>
          <w:highlight w:val="yellow"/>
        </w:rPr>
        <w:t>highlight</w:t>
      </w:r>
      <w:r w:rsidR="001C39D1">
        <w:t xml:space="preserve"> correct answers in yellow. </w:t>
      </w:r>
      <w:r w:rsidR="001C39D1" w:rsidRPr="00FB5319">
        <w:rPr>
          <w:b/>
          <w:i/>
          <w:u w:val="single"/>
        </w:rPr>
        <w:t>Do not type answers in red.</w:t>
      </w:r>
    </w:p>
    <w:p w14:paraId="3D9D763D" w14:textId="77777777" w:rsidR="004F6B53" w:rsidRDefault="004F6B53"/>
    <w:p w14:paraId="5CCDC54B" w14:textId="77777777" w:rsidR="004F6B53" w:rsidRDefault="004F6B53">
      <w:r>
        <w:t xml:space="preserve">A substantial part of the budgets of state and local governments </w:t>
      </w:r>
      <w:r w:rsidR="00107272">
        <w:t xml:space="preserve">(and some nonprofit organizations) </w:t>
      </w:r>
      <w:r>
        <w:t xml:space="preserve">are based on revenues received from the national/federal government. The national debt is increasing rapidly increasing and is now over </w:t>
      </w:r>
      <w:r w:rsidR="00107272">
        <w:t>$28</w:t>
      </w:r>
      <w:r>
        <w:t xml:space="preserve"> trillion dollars, in part because of the COVID pandemic. Interest pa</w:t>
      </w:r>
      <w:r w:rsidR="00107272">
        <w:t>yments on the debt are over $394</w:t>
      </w:r>
      <w:r>
        <w:t xml:space="preserve"> billion a year. </w:t>
      </w:r>
    </w:p>
    <w:p w14:paraId="5D16C4DB" w14:textId="77777777" w:rsidR="008249E2" w:rsidRDefault="008249E2"/>
    <w:p w14:paraId="4D8AF401" w14:textId="77777777" w:rsidR="008249E2" w:rsidRDefault="008249E2">
      <w:r w:rsidRPr="008249E2">
        <w:t>https://www.usdebtclock.org/</w:t>
      </w:r>
    </w:p>
    <w:p w14:paraId="66BF9A29" w14:textId="77777777" w:rsidR="008249E2" w:rsidRDefault="008249E2"/>
    <w:p w14:paraId="5F8A01E4" w14:textId="77777777" w:rsidR="008249E2" w:rsidRDefault="00A02346">
      <w:pPr>
        <w:rPr>
          <w:b/>
          <w:i/>
        </w:rPr>
      </w:pPr>
      <w:r w:rsidRPr="00A02346">
        <w:rPr>
          <w:b/>
          <w:i/>
        </w:rPr>
        <w:t>1.</w:t>
      </w:r>
      <w:r w:rsidRPr="00A02346">
        <w:rPr>
          <w:b/>
          <w:i/>
        </w:rPr>
        <w:tab/>
      </w:r>
      <w:r w:rsidR="008249E2" w:rsidRPr="00A02346">
        <w:rPr>
          <w:b/>
          <w:i/>
        </w:rPr>
        <w:t xml:space="preserve">As national/federal government tax receipts decrease (as result of recent tax cuts and the pandemic) and if interest rates (on borrowing) increase, are intergovernmental transfers of money to state and local government like to decrease or increase? </w:t>
      </w:r>
    </w:p>
    <w:p w14:paraId="4C77705A" w14:textId="77777777" w:rsidR="00936616" w:rsidRPr="00936616" w:rsidRDefault="00936616" w:rsidP="00936616"/>
    <w:tbl>
      <w:tblPr>
        <w:tblStyle w:val="TableGrid"/>
        <w:tblW w:w="0" w:type="auto"/>
        <w:tblLook w:val="04A0" w:firstRow="1" w:lastRow="0" w:firstColumn="1" w:lastColumn="0" w:noHBand="0" w:noVBand="1"/>
      </w:tblPr>
      <w:tblGrid>
        <w:gridCol w:w="9350"/>
      </w:tblGrid>
      <w:tr w:rsidR="00936616" w14:paraId="6090A037" w14:textId="77777777" w:rsidTr="005E53D1">
        <w:tc>
          <w:tcPr>
            <w:tcW w:w="9576" w:type="dxa"/>
          </w:tcPr>
          <w:p w14:paraId="26298DB5" w14:textId="6CDE0390" w:rsidR="00936616" w:rsidRDefault="002B63B1" w:rsidP="005E53D1">
            <w:r>
              <w:t>Intergovernmental transfers</w:t>
            </w:r>
            <w:r w:rsidR="00B05C29">
              <w:t xml:space="preserve"> are likely to increase. </w:t>
            </w:r>
            <w:r>
              <w:t xml:space="preserve"> The local governments and states are some of the main employers in the US. Reduced intergovernmental transfers imply more layoffs or </w:t>
            </w:r>
            <w:r w:rsidR="00E61790">
              <w:t>furloughs for</w:t>
            </w:r>
            <w:r>
              <w:t xml:space="preserve"> the workers. In April 2020, there were over 400000 layoffs as a result of COVID-19 pandemic</w:t>
            </w:r>
            <w:r w:rsidR="00E61836">
              <w:t xml:space="preserve"> in local governments</w:t>
            </w:r>
            <w:r>
              <w:t xml:space="preserve">. To prevent the escalation of this situation and exacerbation of recession, intergovernmental transfers will increase to cushion states and local authorities from laying off workers, boost consumption and productivity which will cushion the economy from further recession.  </w:t>
            </w:r>
          </w:p>
          <w:p w14:paraId="232E23AF" w14:textId="77777777" w:rsidR="00936616" w:rsidRDefault="00936616" w:rsidP="005E53D1"/>
          <w:p w14:paraId="3C1BBCA1" w14:textId="77777777" w:rsidR="00936616" w:rsidRDefault="00936616" w:rsidP="005E53D1"/>
          <w:p w14:paraId="0F202DFB" w14:textId="77777777" w:rsidR="00936616" w:rsidRDefault="00936616" w:rsidP="005E53D1"/>
        </w:tc>
      </w:tr>
    </w:tbl>
    <w:p w14:paraId="275F5A5D" w14:textId="77777777" w:rsidR="008249E2" w:rsidRDefault="008249E2"/>
    <w:p w14:paraId="101A6958" w14:textId="77777777" w:rsidR="008249E2" w:rsidRDefault="00A02346">
      <w:pPr>
        <w:rPr>
          <w:b/>
          <w:i/>
        </w:rPr>
      </w:pPr>
      <w:r>
        <w:rPr>
          <w:b/>
          <w:i/>
        </w:rPr>
        <w:t>2.</w:t>
      </w:r>
      <w:r>
        <w:rPr>
          <w:b/>
          <w:i/>
        </w:rPr>
        <w:tab/>
      </w:r>
      <w:r w:rsidR="008249E2" w:rsidRPr="00A02346">
        <w:rPr>
          <w:b/>
          <w:i/>
        </w:rPr>
        <w:t xml:space="preserve">If the burdens of healthcare and social services on state and local governments increase, are </w:t>
      </w:r>
      <w:r w:rsidR="008249E2" w:rsidRPr="00936616">
        <w:rPr>
          <w:b/>
          <w:i/>
          <w:u w:val="single"/>
        </w:rPr>
        <w:t>state and local</w:t>
      </w:r>
      <w:r w:rsidR="008249E2" w:rsidRPr="00A02346">
        <w:rPr>
          <w:b/>
          <w:i/>
        </w:rPr>
        <w:t xml:space="preserve"> governments taxes likely to decrease or increase?</w:t>
      </w:r>
    </w:p>
    <w:p w14:paraId="60481A5A" w14:textId="77777777" w:rsidR="00936616" w:rsidRPr="00936616" w:rsidRDefault="00936616" w:rsidP="00936616"/>
    <w:tbl>
      <w:tblPr>
        <w:tblStyle w:val="TableGrid"/>
        <w:tblW w:w="0" w:type="auto"/>
        <w:tblLook w:val="04A0" w:firstRow="1" w:lastRow="0" w:firstColumn="1" w:lastColumn="0" w:noHBand="0" w:noVBand="1"/>
      </w:tblPr>
      <w:tblGrid>
        <w:gridCol w:w="9350"/>
      </w:tblGrid>
      <w:tr w:rsidR="00936616" w14:paraId="3D51E04B" w14:textId="77777777" w:rsidTr="005E53D1">
        <w:tc>
          <w:tcPr>
            <w:tcW w:w="9576" w:type="dxa"/>
          </w:tcPr>
          <w:p w14:paraId="60635649" w14:textId="1C3B8B26" w:rsidR="00936616" w:rsidRDefault="00346486" w:rsidP="005E53D1">
            <w:r>
              <w:t xml:space="preserve">An increased social services and healthcare burden on local and state governments means that their taxes are likely to also decrease. Increased </w:t>
            </w:r>
            <w:r w:rsidR="003851ED">
              <w:t>COVID-19</w:t>
            </w:r>
            <w:r>
              <w:t xml:space="preserve"> infections imply more strain on the social and healthcare services and people unable to pay taxes</w:t>
            </w:r>
            <w:r w:rsidR="003851ED">
              <w:t xml:space="preserve">. Movement restrictions and tax reliefs have contributed to the reduced taxes received by both local and state governments. </w:t>
            </w:r>
          </w:p>
          <w:p w14:paraId="5DF222F5" w14:textId="77777777" w:rsidR="00936616" w:rsidRDefault="00936616" w:rsidP="005E53D1"/>
          <w:p w14:paraId="2D33F52F" w14:textId="77777777" w:rsidR="00936616" w:rsidRDefault="00936616" w:rsidP="005E53D1"/>
        </w:tc>
      </w:tr>
    </w:tbl>
    <w:p w14:paraId="09167D62" w14:textId="77777777" w:rsidR="00936616" w:rsidRPr="00936616" w:rsidRDefault="00936616" w:rsidP="00936616"/>
    <w:p w14:paraId="3ED4CDCD" w14:textId="77777777" w:rsidR="008249E2" w:rsidRDefault="00A02346">
      <w:pPr>
        <w:rPr>
          <w:b/>
          <w:i/>
        </w:rPr>
      </w:pPr>
      <w:r>
        <w:rPr>
          <w:b/>
          <w:i/>
        </w:rPr>
        <w:t>3.</w:t>
      </w:r>
      <w:r>
        <w:rPr>
          <w:b/>
          <w:i/>
        </w:rPr>
        <w:tab/>
      </w:r>
      <w:r w:rsidR="008249E2" w:rsidRPr="00A02346">
        <w:rPr>
          <w:b/>
          <w:i/>
        </w:rPr>
        <w:t xml:space="preserve">If state and local governments must become more financially dependent upon themselves is the nation likely to become more uniform (the same everyone) or more diverse (meaning </w:t>
      </w:r>
      <w:r w:rsidR="00145F10" w:rsidRPr="00A02346">
        <w:rPr>
          <w:b/>
          <w:i/>
        </w:rPr>
        <w:t>more different in different is different locations, financially)?</w:t>
      </w:r>
    </w:p>
    <w:p w14:paraId="04E809F8" w14:textId="77777777" w:rsidR="00936616" w:rsidRPr="00936616" w:rsidRDefault="00936616"/>
    <w:tbl>
      <w:tblPr>
        <w:tblStyle w:val="TableGrid"/>
        <w:tblW w:w="0" w:type="auto"/>
        <w:tblLook w:val="04A0" w:firstRow="1" w:lastRow="0" w:firstColumn="1" w:lastColumn="0" w:noHBand="0" w:noVBand="1"/>
      </w:tblPr>
      <w:tblGrid>
        <w:gridCol w:w="9350"/>
      </w:tblGrid>
      <w:tr w:rsidR="00936616" w14:paraId="39AC79C0" w14:textId="77777777" w:rsidTr="00936616">
        <w:tc>
          <w:tcPr>
            <w:tcW w:w="9576" w:type="dxa"/>
          </w:tcPr>
          <w:p w14:paraId="401C0CA8" w14:textId="3A120125" w:rsidR="00936616" w:rsidRDefault="00A302C8">
            <w:r>
              <w:t xml:space="preserve">If local and state governments become more independent financially, the nation cannot be uniform but diverse. Many regions and states in the US have varied resource endowments and grapple with different economic and social issues. The federal government financial support through grants is key as it creates a level playing field for all local and state governments through grants, fiscal and monetary policies that enhance equity among citizens in the various </w:t>
            </w:r>
            <w:r>
              <w:lastRenderedPageBreak/>
              <w:t xml:space="preserve">local and state authorities throughout the country. For example, if the revenues from Arizona are more than in Delaware, the latter will get more </w:t>
            </w:r>
            <w:r w:rsidR="009A2A2C">
              <w:t>grant from</w:t>
            </w:r>
            <w:r>
              <w:t xml:space="preserve"> the Fed than the former to enhance equity.</w:t>
            </w:r>
          </w:p>
          <w:p w14:paraId="0F1E5084" w14:textId="77777777" w:rsidR="00936616" w:rsidRDefault="00936616"/>
          <w:p w14:paraId="1903965F" w14:textId="77777777" w:rsidR="00936616" w:rsidRDefault="00936616"/>
        </w:tc>
      </w:tr>
    </w:tbl>
    <w:p w14:paraId="28C7A048" w14:textId="77777777" w:rsidR="00936616" w:rsidRPr="00936616" w:rsidRDefault="00936616"/>
    <w:p w14:paraId="0D5CA25B" w14:textId="77777777" w:rsidR="00145F10" w:rsidRDefault="00A02346">
      <w:r>
        <w:t>4.</w:t>
      </w:r>
      <w:r w:rsidR="0063539C">
        <w:tab/>
        <w:t>The city of Wayne, Nebraska (for example) has a relatively large accumulated surplus of revenues resulting from annual surpluses in past years. This gives its government a "cushion" of money it can fall back upon in an emergency. In order for a government to gain such a cushion its leaders must . . .  (mark all that apply)</w:t>
      </w:r>
    </w:p>
    <w:p w14:paraId="35CD3960" w14:textId="77777777" w:rsidR="00936616" w:rsidRDefault="00936616"/>
    <w:tbl>
      <w:tblPr>
        <w:tblStyle w:val="TableGrid"/>
        <w:tblW w:w="0" w:type="auto"/>
        <w:tblLook w:val="04A0" w:firstRow="1" w:lastRow="0" w:firstColumn="1" w:lastColumn="0" w:noHBand="0" w:noVBand="1"/>
      </w:tblPr>
      <w:tblGrid>
        <w:gridCol w:w="9350"/>
      </w:tblGrid>
      <w:tr w:rsidR="00936616" w14:paraId="167CDA32" w14:textId="77777777" w:rsidTr="00936616">
        <w:tc>
          <w:tcPr>
            <w:tcW w:w="9576" w:type="dxa"/>
          </w:tcPr>
          <w:p w14:paraId="1D1EFA2F" w14:textId="77777777" w:rsidR="00936616" w:rsidRDefault="00936616" w:rsidP="00936616"/>
          <w:p w14:paraId="48709C8A" w14:textId="77777777" w:rsidR="00936616" w:rsidRDefault="00936616" w:rsidP="00936616">
            <w:r>
              <w:tab/>
              <w:t>A</w:t>
            </w:r>
            <w:r>
              <w:tab/>
            </w:r>
            <w:r w:rsidRPr="009A2A2C">
              <w:rPr>
                <w:highlight w:val="yellow"/>
              </w:rPr>
              <w:t>maintain tax levels in "good" years in order to create an accumulated surplus</w:t>
            </w:r>
          </w:p>
          <w:p w14:paraId="23322E34" w14:textId="77777777" w:rsidR="00936616" w:rsidRDefault="00936616" w:rsidP="00936616"/>
          <w:p w14:paraId="57235316" w14:textId="77777777" w:rsidR="00936616" w:rsidRDefault="00936616" w:rsidP="00936616">
            <w:r>
              <w:tab/>
              <w:t>B</w:t>
            </w:r>
            <w:r>
              <w:tab/>
            </w:r>
            <w:r w:rsidRPr="009A2A2C">
              <w:rPr>
                <w:highlight w:val="yellow"/>
              </w:rPr>
              <w:t xml:space="preserve">practice good financial management practices regarding investing surplus </w:t>
            </w:r>
            <w:r w:rsidRPr="009A2A2C">
              <w:rPr>
                <w:highlight w:val="yellow"/>
              </w:rPr>
              <w:tab/>
            </w:r>
            <w:r w:rsidRPr="009A2A2C">
              <w:rPr>
                <w:highlight w:val="yellow"/>
              </w:rPr>
              <w:tab/>
            </w:r>
            <w:r w:rsidRPr="009A2A2C">
              <w:rPr>
                <w:highlight w:val="yellow"/>
              </w:rPr>
              <w:tab/>
            </w:r>
            <w:r w:rsidRPr="009A2A2C">
              <w:rPr>
                <w:highlight w:val="yellow"/>
              </w:rPr>
              <w:tab/>
              <w:t>revenues</w:t>
            </w:r>
          </w:p>
          <w:p w14:paraId="013756CD" w14:textId="77777777" w:rsidR="00936616" w:rsidRDefault="00936616" w:rsidP="00936616"/>
          <w:p w14:paraId="4309A7DA" w14:textId="77777777" w:rsidR="00936616" w:rsidRDefault="00936616" w:rsidP="00936616">
            <w:r>
              <w:tab/>
              <w:t>C</w:t>
            </w:r>
            <w:r>
              <w:tab/>
              <w:t xml:space="preserve">lower local taxes in the "good" years when additional revenues are not needed </w:t>
            </w:r>
            <w:r>
              <w:tab/>
            </w:r>
            <w:r>
              <w:tab/>
            </w:r>
            <w:r>
              <w:tab/>
              <w:t>immediately</w:t>
            </w:r>
          </w:p>
          <w:p w14:paraId="64792492" w14:textId="77777777" w:rsidR="00936616" w:rsidRDefault="00936616"/>
        </w:tc>
      </w:tr>
    </w:tbl>
    <w:p w14:paraId="4ECB6BE2" w14:textId="77777777" w:rsidR="00936616" w:rsidRDefault="00936616"/>
    <w:p w14:paraId="6CF68E06" w14:textId="77777777" w:rsidR="00EC4CA8" w:rsidRDefault="00EC4CA8"/>
    <w:p w14:paraId="49B35C9D" w14:textId="77777777" w:rsidR="00EC4CA8" w:rsidRDefault="00A02346">
      <w:r>
        <w:t>5</w:t>
      </w:r>
      <w:r w:rsidR="00D7040A">
        <w:t>.</w:t>
      </w:r>
      <w:r w:rsidR="00D7040A">
        <w:tab/>
        <w:t xml:space="preserve">If possible, it would be appropriate for the City of Albany to float </w:t>
      </w:r>
      <w:r w:rsidR="006A06D9">
        <w:t xml:space="preserve">(issue) </w:t>
      </w:r>
      <w:r w:rsidR="00D7040A">
        <w:t>a municipal bond to pay the cost of rebuilding the sewer system, causing the payment of costs onto future residents of Albany, rather than putting the entire financial burden entirely on people and businesses in Albany now.</w:t>
      </w:r>
    </w:p>
    <w:p w14:paraId="00F4C430" w14:textId="77777777" w:rsidR="00936616" w:rsidRDefault="00936616" w:rsidP="00936616"/>
    <w:tbl>
      <w:tblPr>
        <w:tblStyle w:val="TableGrid"/>
        <w:tblW w:w="0" w:type="auto"/>
        <w:tblLook w:val="04A0" w:firstRow="1" w:lastRow="0" w:firstColumn="1" w:lastColumn="0" w:noHBand="0" w:noVBand="1"/>
      </w:tblPr>
      <w:tblGrid>
        <w:gridCol w:w="9350"/>
      </w:tblGrid>
      <w:tr w:rsidR="00936616" w14:paraId="4DC5E74D" w14:textId="77777777" w:rsidTr="005E53D1">
        <w:tc>
          <w:tcPr>
            <w:tcW w:w="9576" w:type="dxa"/>
          </w:tcPr>
          <w:p w14:paraId="49170E0C" w14:textId="77777777" w:rsidR="00936616" w:rsidRDefault="00936616" w:rsidP="005E53D1">
            <w:r>
              <w:tab/>
            </w:r>
            <w:r>
              <w:tab/>
            </w:r>
          </w:p>
          <w:p w14:paraId="1482CD70" w14:textId="77777777" w:rsidR="00936616" w:rsidRDefault="00936616" w:rsidP="005E53D1">
            <w:r>
              <w:t>A</w:t>
            </w:r>
            <w:r>
              <w:tab/>
            </w:r>
            <w:r w:rsidRPr="00672BD6">
              <w:rPr>
                <w:highlight w:val="yellow"/>
              </w:rPr>
              <w:t>true</w:t>
            </w:r>
          </w:p>
          <w:p w14:paraId="790FEFEA" w14:textId="77777777" w:rsidR="00936616" w:rsidRDefault="00936616" w:rsidP="005E53D1"/>
          <w:p w14:paraId="7373E6FB" w14:textId="77777777" w:rsidR="00936616" w:rsidRDefault="00936616" w:rsidP="005E53D1">
            <w:r>
              <w:t>B</w:t>
            </w:r>
            <w:r>
              <w:tab/>
              <w:t>false</w:t>
            </w:r>
          </w:p>
          <w:p w14:paraId="40711881" w14:textId="77777777" w:rsidR="00936616" w:rsidRDefault="00936616" w:rsidP="005E53D1"/>
        </w:tc>
      </w:tr>
    </w:tbl>
    <w:p w14:paraId="3C475807" w14:textId="77777777" w:rsidR="00D7040A" w:rsidRDefault="00D7040A"/>
    <w:p w14:paraId="1808E354" w14:textId="77777777" w:rsidR="00D7040A" w:rsidRDefault="00FB5319">
      <w:r>
        <w:t>6</w:t>
      </w:r>
      <w:r w:rsidR="00697711">
        <w:t>.</w:t>
      </w:r>
      <w:r w:rsidR="00697711">
        <w:tab/>
        <w:t>To estimate future revenues in the coming budget year, the better approach is to . . .</w:t>
      </w:r>
    </w:p>
    <w:p w14:paraId="2805DEBD" w14:textId="77777777" w:rsidR="00936616" w:rsidRDefault="00936616"/>
    <w:tbl>
      <w:tblPr>
        <w:tblStyle w:val="TableGrid"/>
        <w:tblW w:w="0" w:type="auto"/>
        <w:tblLook w:val="04A0" w:firstRow="1" w:lastRow="0" w:firstColumn="1" w:lastColumn="0" w:noHBand="0" w:noVBand="1"/>
      </w:tblPr>
      <w:tblGrid>
        <w:gridCol w:w="9350"/>
      </w:tblGrid>
      <w:tr w:rsidR="00936616" w14:paraId="3A9BA843" w14:textId="77777777" w:rsidTr="00936616">
        <w:tc>
          <w:tcPr>
            <w:tcW w:w="9576" w:type="dxa"/>
          </w:tcPr>
          <w:p w14:paraId="043ECE9B" w14:textId="77777777" w:rsidR="00936616" w:rsidRDefault="00936616" w:rsidP="00936616"/>
          <w:p w14:paraId="7888D0E5" w14:textId="77777777" w:rsidR="00936616" w:rsidRDefault="00936616" w:rsidP="00936616">
            <w:r>
              <w:tab/>
              <w:t>A</w:t>
            </w:r>
            <w:r>
              <w:tab/>
            </w:r>
            <w:r w:rsidRPr="00672BD6">
              <w:rPr>
                <w:highlight w:val="yellow"/>
              </w:rPr>
              <w:t xml:space="preserve">look at the trend for all sources of revenues combined (property taxes, sales taxes, </w:t>
            </w:r>
            <w:r w:rsidRPr="00672BD6">
              <w:rPr>
                <w:highlight w:val="yellow"/>
              </w:rPr>
              <w:tab/>
            </w:r>
            <w:r w:rsidRPr="00672BD6">
              <w:rPr>
                <w:highlight w:val="yellow"/>
              </w:rPr>
              <w:tab/>
              <w:t xml:space="preserve">fees, and others) and draw a straight line of the totals from past years into the </w:t>
            </w:r>
            <w:r w:rsidRPr="00672BD6">
              <w:rPr>
                <w:highlight w:val="yellow"/>
              </w:rPr>
              <w:tab/>
            </w:r>
            <w:r w:rsidRPr="00672BD6">
              <w:rPr>
                <w:highlight w:val="yellow"/>
              </w:rPr>
              <w:tab/>
            </w:r>
            <w:r w:rsidRPr="00672BD6">
              <w:rPr>
                <w:highlight w:val="yellow"/>
              </w:rPr>
              <w:tab/>
              <w:t>future.</w:t>
            </w:r>
          </w:p>
          <w:p w14:paraId="33C2D10F" w14:textId="77777777" w:rsidR="00936616" w:rsidRDefault="00936616" w:rsidP="00936616"/>
          <w:p w14:paraId="53DB0DA1" w14:textId="77777777" w:rsidR="00936616" w:rsidRDefault="00936616" w:rsidP="00936616">
            <w:r>
              <w:tab/>
              <w:t>B</w:t>
            </w:r>
            <w:r>
              <w:tab/>
              <w:t xml:space="preserve">try to understand what is happening in terms of each different source of revenues </w:t>
            </w:r>
            <w:r>
              <w:tab/>
            </w:r>
            <w:r>
              <w:tab/>
            </w:r>
            <w:r>
              <w:tab/>
              <w:t>and build upon that understanding to estimate future revenues.</w:t>
            </w:r>
          </w:p>
          <w:p w14:paraId="15A6C9E2" w14:textId="77777777" w:rsidR="00936616" w:rsidRDefault="00936616"/>
        </w:tc>
      </w:tr>
    </w:tbl>
    <w:p w14:paraId="0092DEEC" w14:textId="77777777" w:rsidR="00936616" w:rsidRDefault="00936616"/>
    <w:p w14:paraId="1D7EA947" w14:textId="77777777" w:rsidR="00697711" w:rsidRDefault="00697711"/>
    <w:p w14:paraId="1F30BC59" w14:textId="77777777" w:rsidR="00841FBE" w:rsidRDefault="00841FBE">
      <w:r>
        <w:t>[continue]</w:t>
      </w:r>
      <w:r>
        <w:br w:type="page"/>
      </w:r>
    </w:p>
    <w:p w14:paraId="2BB6601D" w14:textId="77777777" w:rsidR="00697711" w:rsidRDefault="00FB5319">
      <w:r>
        <w:lastRenderedPageBreak/>
        <w:t>7</w:t>
      </w:r>
      <w:r w:rsidR="005C5A41">
        <w:t>.</w:t>
      </w:r>
      <w:r w:rsidR="005C5A41">
        <w:tab/>
        <w:t>In order to create a balanced budget, you must have an estimate of revenues in the coming budget year.</w:t>
      </w:r>
    </w:p>
    <w:p w14:paraId="0E91F618" w14:textId="77777777" w:rsidR="00936616" w:rsidRDefault="00936616" w:rsidP="00936616"/>
    <w:tbl>
      <w:tblPr>
        <w:tblStyle w:val="TableGrid"/>
        <w:tblW w:w="0" w:type="auto"/>
        <w:tblLook w:val="04A0" w:firstRow="1" w:lastRow="0" w:firstColumn="1" w:lastColumn="0" w:noHBand="0" w:noVBand="1"/>
      </w:tblPr>
      <w:tblGrid>
        <w:gridCol w:w="9350"/>
      </w:tblGrid>
      <w:tr w:rsidR="00936616" w14:paraId="53CA0961" w14:textId="77777777" w:rsidTr="005E53D1">
        <w:tc>
          <w:tcPr>
            <w:tcW w:w="9576" w:type="dxa"/>
          </w:tcPr>
          <w:p w14:paraId="109A9F5F" w14:textId="77777777" w:rsidR="00936616" w:rsidRDefault="00936616" w:rsidP="005E53D1">
            <w:r>
              <w:tab/>
            </w:r>
            <w:r>
              <w:tab/>
            </w:r>
          </w:p>
          <w:p w14:paraId="16E0B487" w14:textId="77777777" w:rsidR="00936616" w:rsidRDefault="00936616" w:rsidP="005E53D1">
            <w:r>
              <w:t>A</w:t>
            </w:r>
            <w:r>
              <w:tab/>
            </w:r>
            <w:r w:rsidRPr="00514592">
              <w:rPr>
                <w:highlight w:val="yellow"/>
              </w:rPr>
              <w:t>true</w:t>
            </w:r>
          </w:p>
          <w:p w14:paraId="457A52EE" w14:textId="77777777" w:rsidR="00936616" w:rsidRDefault="00936616" w:rsidP="005E53D1"/>
          <w:p w14:paraId="00CC5948" w14:textId="77777777" w:rsidR="00936616" w:rsidRDefault="00936616" w:rsidP="005E53D1">
            <w:r>
              <w:t>B</w:t>
            </w:r>
            <w:r>
              <w:tab/>
              <w:t>false</w:t>
            </w:r>
          </w:p>
          <w:p w14:paraId="3A89CEA9" w14:textId="77777777" w:rsidR="00936616" w:rsidRDefault="00936616" w:rsidP="005E53D1"/>
        </w:tc>
      </w:tr>
    </w:tbl>
    <w:p w14:paraId="08D6A755" w14:textId="77777777" w:rsidR="004628E5" w:rsidRDefault="004628E5"/>
    <w:p w14:paraId="2DDE1A3B" w14:textId="77777777" w:rsidR="004628E5" w:rsidRDefault="00FB5319">
      <w:r>
        <w:t>8</w:t>
      </w:r>
      <w:r w:rsidR="004628E5">
        <w:t>.</w:t>
      </w:r>
      <w:r w:rsidR="004628E5">
        <w:tab/>
        <w:t xml:space="preserve">The budget is a plan. </w:t>
      </w:r>
      <w:r w:rsidR="00504503">
        <w:t xml:space="preserve">The budget may be balanced but the city government may have to borrow money (not in the budget) to pay for unexpected expenses. </w:t>
      </w:r>
    </w:p>
    <w:p w14:paraId="3CA125AC" w14:textId="77777777" w:rsidR="00936616" w:rsidRDefault="00936616" w:rsidP="00936616"/>
    <w:tbl>
      <w:tblPr>
        <w:tblStyle w:val="TableGrid"/>
        <w:tblW w:w="0" w:type="auto"/>
        <w:tblLook w:val="04A0" w:firstRow="1" w:lastRow="0" w:firstColumn="1" w:lastColumn="0" w:noHBand="0" w:noVBand="1"/>
      </w:tblPr>
      <w:tblGrid>
        <w:gridCol w:w="9350"/>
      </w:tblGrid>
      <w:tr w:rsidR="00936616" w14:paraId="022E5F07" w14:textId="77777777" w:rsidTr="005E53D1">
        <w:tc>
          <w:tcPr>
            <w:tcW w:w="9576" w:type="dxa"/>
          </w:tcPr>
          <w:p w14:paraId="0D2F01F7" w14:textId="77777777" w:rsidR="00936616" w:rsidRDefault="00936616" w:rsidP="005E53D1">
            <w:r>
              <w:tab/>
            </w:r>
            <w:r>
              <w:tab/>
            </w:r>
          </w:p>
          <w:p w14:paraId="5F6B2956" w14:textId="77777777" w:rsidR="00936616" w:rsidRDefault="00936616" w:rsidP="005E53D1">
            <w:r>
              <w:t>A</w:t>
            </w:r>
            <w:r>
              <w:tab/>
            </w:r>
            <w:r w:rsidRPr="000630B3">
              <w:rPr>
                <w:highlight w:val="yellow"/>
              </w:rPr>
              <w:t>true</w:t>
            </w:r>
          </w:p>
          <w:p w14:paraId="2D1DA275" w14:textId="77777777" w:rsidR="00936616" w:rsidRDefault="00936616" w:rsidP="005E53D1"/>
          <w:p w14:paraId="64EE30A7" w14:textId="77777777" w:rsidR="00936616" w:rsidRDefault="00936616" w:rsidP="005E53D1">
            <w:r>
              <w:t>B</w:t>
            </w:r>
            <w:r>
              <w:tab/>
              <w:t>false</w:t>
            </w:r>
          </w:p>
          <w:p w14:paraId="20CD61D1" w14:textId="77777777" w:rsidR="00936616" w:rsidRDefault="00936616" w:rsidP="005E53D1"/>
        </w:tc>
      </w:tr>
    </w:tbl>
    <w:p w14:paraId="480049B0" w14:textId="77777777" w:rsidR="00504503" w:rsidRDefault="00504503"/>
    <w:p w14:paraId="4E17BCFB" w14:textId="77777777" w:rsidR="00504503" w:rsidRDefault="00FB5319">
      <w:r>
        <w:t>9</w:t>
      </w:r>
      <w:r w:rsidR="00504503">
        <w:t>.</w:t>
      </w:r>
      <w:r w:rsidR="00504503">
        <w:tab/>
      </w:r>
      <w:r w:rsidR="00321B22">
        <w:t>There is no need for local government employees (professional staffs) with budget expertise because candidate for mayor and council are required to have experience in public budgeting.</w:t>
      </w:r>
    </w:p>
    <w:p w14:paraId="7FB9C411" w14:textId="77777777" w:rsidR="00936616" w:rsidRDefault="00936616" w:rsidP="00936616"/>
    <w:tbl>
      <w:tblPr>
        <w:tblStyle w:val="TableGrid"/>
        <w:tblW w:w="0" w:type="auto"/>
        <w:tblLook w:val="04A0" w:firstRow="1" w:lastRow="0" w:firstColumn="1" w:lastColumn="0" w:noHBand="0" w:noVBand="1"/>
      </w:tblPr>
      <w:tblGrid>
        <w:gridCol w:w="9350"/>
      </w:tblGrid>
      <w:tr w:rsidR="00936616" w14:paraId="453949ED" w14:textId="77777777" w:rsidTr="005E53D1">
        <w:tc>
          <w:tcPr>
            <w:tcW w:w="9576" w:type="dxa"/>
          </w:tcPr>
          <w:p w14:paraId="14A3CD0B" w14:textId="77777777" w:rsidR="00936616" w:rsidRDefault="00936616" w:rsidP="005E53D1">
            <w:r>
              <w:tab/>
            </w:r>
            <w:r>
              <w:tab/>
            </w:r>
          </w:p>
          <w:p w14:paraId="6AFDE50D" w14:textId="77777777" w:rsidR="00936616" w:rsidRDefault="00936616" w:rsidP="005E53D1">
            <w:r>
              <w:t>A</w:t>
            </w:r>
            <w:r>
              <w:tab/>
              <w:t>true</w:t>
            </w:r>
          </w:p>
          <w:p w14:paraId="29491D8F" w14:textId="77777777" w:rsidR="00936616" w:rsidRDefault="00936616" w:rsidP="005E53D1"/>
          <w:p w14:paraId="74FFB7E9" w14:textId="77777777" w:rsidR="00936616" w:rsidRDefault="00936616" w:rsidP="005E53D1">
            <w:r>
              <w:t>B</w:t>
            </w:r>
            <w:r>
              <w:tab/>
            </w:r>
            <w:r w:rsidRPr="000630B3">
              <w:rPr>
                <w:highlight w:val="yellow"/>
              </w:rPr>
              <w:t>false</w:t>
            </w:r>
          </w:p>
          <w:p w14:paraId="113F51FE" w14:textId="77777777" w:rsidR="00936616" w:rsidRDefault="00936616" w:rsidP="005E53D1"/>
        </w:tc>
      </w:tr>
    </w:tbl>
    <w:p w14:paraId="41D5DBF8" w14:textId="77777777" w:rsidR="00321B22" w:rsidRDefault="00321B22"/>
    <w:p w14:paraId="44648EE3" w14:textId="77777777" w:rsidR="00321B22" w:rsidRDefault="00FB5319">
      <w:r>
        <w:t>10</w:t>
      </w:r>
      <w:r w:rsidR="004D1770">
        <w:t>.</w:t>
      </w:r>
      <w:r w:rsidR="004D1770">
        <w:tab/>
        <w:t xml:space="preserve">Heads of the local government departments participate in budgetary processes and almost always advocate for their departments. </w:t>
      </w:r>
    </w:p>
    <w:p w14:paraId="60CA737A" w14:textId="77777777" w:rsidR="00936616" w:rsidRDefault="00936616" w:rsidP="00936616"/>
    <w:tbl>
      <w:tblPr>
        <w:tblStyle w:val="TableGrid"/>
        <w:tblW w:w="0" w:type="auto"/>
        <w:tblLook w:val="04A0" w:firstRow="1" w:lastRow="0" w:firstColumn="1" w:lastColumn="0" w:noHBand="0" w:noVBand="1"/>
      </w:tblPr>
      <w:tblGrid>
        <w:gridCol w:w="9350"/>
      </w:tblGrid>
      <w:tr w:rsidR="00936616" w14:paraId="68B98229" w14:textId="77777777" w:rsidTr="005E53D1">
        <w:tc>
          <w:tcPr>
            <w:tcW w:w="9576" w:type="dxa"/>
          </w:tcPr>
          <w:p w14:paraId="51BD076E" w14:textId="77777777" w:rsidR="00936616" w:rsidRDefault="00936616" w:rsidP="005E53D1">
            <w:r>
              <w:tab/>
            </w:r>
            <w:r>
              <w:tab/>
            </w:r>
          </w:p>
          <w:p w14:paraId="5BD2E751" w14:textId="77777777" w:rsidR="00936616" w:rsidRDefault="00936616" w:rsidP="005E53D1">
            <w:r>
              <w:t>A</w:t>
            </w:r>
            <w:r>
              <w:tab/>
            </w:r>
            <w:r w:rsidRPr="0015412A">
              <w:rPr>
                <w:highlight w:val="yellow"/>
              </w:rPr>
              <w:t>true</w:t>
            </w:r>
          </w:p>
          <w:p w14:paraId="4500FEE5" w14:textId="77777777" w:rsidR="00936616" w:rsidRDefault="00936616" w:rsidP="005E53D1"/>
          <w:p w14:paraId="523F6351" w14:textId="77777777" w:rsidR="00936616" w:rsidRDefault="00936616" w:rsidP="005E53D1">
            <w:r>
              <w:t>B</w:t>
            </w:r>
            <w:r>
              <w:tab/>
              <w:t>false</w:t>
            </w:r>
          </w:p>
          <w:p w14:paraId="64D2093E" w14:textId="77777777" w:rsidR="00936616" w:rsidRDefault="00936616" w:rsidP="005E53D1"/>
        </w:tc>
      </w:tr>
    </w:tbl>
    <w:p w14:paraId="2FC35BA7" w14:textId="77777777" w:rsidR="00936616" w:rsidRDefault="00936616"/>
    <w:p w14:paraId="749FD9B3" w14:textId="77777777" w:rsidR="004D1770" w:rsidRDefault="00FB5319">
      <w:r>
        <w:t>11</w:t>
      </w:r>
      <w:r w:rsidR="004D1770">
        <w:t>.</w:t>
      </w:r>
      <w:r w:rsidR="004D1770">
        <w:tab/>
        <w:t xml:space="preserve">A CAFR </w:t>
      </w:r>
      <w:r w:rsidR="00A02346">
        <w:t xml:space="preserve">is an annual report intended to communicate the financial condition of a government jurisdiction. </w:t>
      </w:r>
    </w:p>
    <w:p w14:paraId="336FA589" w14:textId="77777777" w:rsidR="00936616" w:rsidRDefault="00936616"/>
    <w:tbl>
      <w:tblPr>
        <w:tblStyle w:val="TableGrid"/>
        <w:tblW w:w="0" w:type="auto"/>
        <w:tblLook w:val="04A0" w:firstRow="1" w:lastRow="0" w:firstColumn="1" w:lastColumn="0" w:noHBand="0" w:noVBand="1"/>
      </w:tblPr>
      <w:tblGrid>
        <w:gridCol w:w="9350"/>
      </w:tblGrid>
      <w:tr w:rsidR="00936616" w14:paraId="4E8CA35A" w14:textId="77777777" w:rsidTr="00936616">
        <w:tc>
          <w:tcPr>
            <w:tcW w:w="9576" w:type="dxa"/>
          </w:tcPr>
          <w:p w14:paraId="5D2E35D6" w14:textId="77777777" w:rsidR="00936616" w:rsidRDefault="00936616" w:rsidP="00936616">
            <w:r>
              <w:tab/>
            </w:r>
            <w:r>
              <w:tab/>
            </w:r>
          </w:p>
          <w:p w14:paraId="50D42E01" w14:textId="77777777" w:rsidR="00936616" w:rsidRDefault="00936616" w:rsidP="00936616">
            <w:r>
              <w:t>A</w:t>
            </w:r>
            <w:r>
              <w:tab/>
            </w:r>
            <w:r w:rsidRPr="0015412A">
              <w:rPr>
                <w:highlight w:val="yellow"/>
              </w:rPr>
              <w:t>true</w:t>
            </w:r>
          </w:p>
          <w:p w14:paraId="76F5BF57" w14:textId="77777777" w:rsidR="00936616" w:rsidRDefault="00936616" w:rsidP="00936616"/>
          <w:p w14:paraId="4CBA6AC9" w14:textId="77777777" w:rsidR="00936616" w:rsidRDefault="00936616" w:rsidP="00936616">
            <w:r>
              <w:t>B</w:t>
            </w:r>
            <w:r>
              <w:tab/>
              <w:t>false</w:t>
            </w:r>
          </w:p>
          <w:p w14:paraId="269F765D" w14:textId="77777777" w:rsidR="00936616" w:rsidRDefault="00936616"/>
        </w:tc>
      </w:tr>
    </w:tbl>
    <w:p w14:paraId="04639E2C" w14:textId="77777777" w:rsidR="00936616" w:rsidRDefault="00936616"/>
    <w:p w14:paraId="7CB7B5BA" w14:textId="77777777" w:rsidR="00A00401" w:rsidRDefault="00FB5319">
      <w:r>
        <w:lastRenderedPageBreak/>
        <w:t>12</w:t>
      </w:r>
      <w:r w:rsidR="00A00401">
        <w:t>.</w:t>
      </w:r>
      <w:r w:rsidR="00A00401">
        <w:tab/>
        <w:t>The incremental budgeting process that begins with last year's budget and focuses on relatively small changes to the existing budget lines from last year . . .</w:t>
      </w:r>
    </w:p>
    <w:p w14:paraId="2EC3A62B" w14:textId="77777777" w:rsidR="00936616" w:rsidRDefault="00936616"/>
    <w:tbl>
      <w:tblPr>
        <w:tblStyle w:val="TableGrid"/>
        <w:tblW w:w="0" w:type="auto"/>
        <w:tblLook w:val="04A0" w:firstRow="1" w:lastRow="0" w:firstColumn="1" w:lastColumn="0" w:noHBand="0" w:noVBand="1"/>
      </w:tblPr>
      <w:tblGrid>
        <w:gridCol w:w="9350"/>
      </w:tblGrid>
      <w:tr w:rsidR="00936616" w14:paraId="4280DCF1" w14:textId="77777777" w:rsidTr="00936616">
        <w:tc>
          <w:tcPr>
            <w:tcW w:w="9576" w:type="dxa"/>
          </w:tcPr>
          <w:p w14:paraId="22CA945E" w14:textId="77777777" w:rsidR="00936616" w:rsidRDefault="00936616" w:rsidP="00936616">
            <w:r>
              <w:tab/>
              <w:t>A</w:t>
            </w:r>
            <w:r>
              <w:tab/>
              <w:t>assures a thoughtful and well-reasoned new budget</w:t>
            </w:r>
          </w:p>
          <w:p w14:paraId="50AA9E55" w14:textId="77777777" w:rsidR="00936616" w:rsidRDefault="00936616" w:rsidP="00936616"/>
          <w:p w14:paraId="3C8907F5" w14:textId="77777777" w:rsidR="00936616" w:rsidRDefault="00936616" w:rsidP="00936616">
            <w:r>
              <w:tab/>
              <w:t>B</w:t>
            </w:r>
            <w:r>
              <w:tab/>
            </w:r>
            <w:r w:rsidRPr="0015412A">
              <w:rPr>
                <w:highlight w:val="yellow"/>
              </w:rPr>
              <w:t>serves to make the process easier and to reduce levels of political conflict</w:t>
            </w:r>
          </w:p>
          <w:p w14:paraId="70031D1D" w14:textId="77777777" w:rsidR="00936616" w:rsidRDefault="00936616"/>
        </w:tc>
      </w:tr>
    </w:tbl>
    <w:p w14:paraId="64A8E9AF" w14:textId="77777777" w:rsidR="000D20FE" w:rsidRDefault="000D20FE"/>
    <w:p w14:paraId="3F19BA23" w14:textId="77777777" w:rsidR="000D20FE" w:rsidRDefault="00FB5319">
      <w:r>
        <w:t>13</w:t>
      </w:r>
      <w:r w:rsidR="000D20FE">
        <w:t>.</w:t>
      </w:r>
      <w:r w:rsidR="000D20FE">
        <w:tab/>
        <w:t>What organization is the source of the standards and methods by which state and local governments in the United States must keep their financial records and report their financial conditions?</w:t>
      </w:r>
    </w:p>
    <w:p w14:paraId="5906A934" w14:textId="77777777" w:rsidR="00936616" w:rsidRDefault="00936616"/>
    <w:tbl>
      <w:tblPr>
        <w:tblStyle w:val="TableGrid"/>
        <w:tblW w:w="0" w:type="auto"/>
        <w:tblLook w:val="04A0" w:firstRow="1" w:lastRow="0" w:firstColumn="1" w:lastColumn="0" w:noHBand="0" w:noVBand="1"/>
      </w:tblPr>
      <w:tblGrid>
        <w:gridCol w:w="9350"/>
      </w:tblGrid>
      <w:tr w:rsidR="00936616" w14:paraId="7F64B7E8" w14:textId="77777777" w:rsidTr="00936616">
        <w:tc>
          <w:tcPr>
            <w:tcW w:w="9576" w:type="dxa"/>
          </w:tcPr>
          <w:p w14:paraId="6F961D95" w14:textId="200C8877" w:rsidR="002A2124" w:rsidRDefault="006F037D" w:rsidP="002A2124">
            <w:r w:rsidRPr="006F037D">
              <w:rPr>
                <w:highlight w:val="yellow"/>
              </w:rPr>
              <w:t xml:space="preserve">Governmental Accounting Standards </w:t>
            </w:r>
            <w:proofErr w:type="gramStart"/>
            <w:r w:rsidRPr="006F037D">
              <w:rPr>
                <w:highlight w:val="yellow"/>
              </w:rPr>
              <w:t>Board(</w:t>
            </w:r>
            <w:proofErr w:type="gramEnd"/>
            <w:r w:rsidRPr="006F037D">
              <w:rPr>
                <w:highlight w:val="yellow"/>
              </w:rPr>
              <w:t>GASB)</w:t>
            </w:r>
          </w:p>
          <w:p w14:paraId="6CF9DA55" w14:textId="77777777" w:rsidR="00936616" w:rsidRDefault="00936616"/>
          <w:p w14:paraId="4839DCCC" w14:textId="77777777" w:rsidR="00C1228B" w:rsidRDefault="00C1228B"/>
          <w:p w14:paraId="6ED869EE" w14:textId="77777777" w:rsidR="00C1228B" w:rsidRDefault="00C1228B"/>
        </w:tc>
      </w:tr>
    </w:tbl>
    <w:p w14:paraId="55F04793" w14:textId="77777777" w:rsidR="000D20FE" w:rsidRDefault="00936616">
      <w:r>
        <w:t>see this Website:</w:t>
      </w:r>
    </w:p>
    <w:p w14:paraId="7DF6BBD3" w14:textId="77777777" w:rsidR="000D20FE" w:rsidRDefault="000D20FE">
      <w:r w:rsidRPr="000D20FE">
        <w:t>https://en.wikipedia.org/wiki/Governmental_Accounting_Standards_Board</w:t>
      </w:r>
    </w:p>
    <w:p w14:paraId="7D907D4B" w14:textId="77777777" w:rsidR="00F93B40" w:rsidRDefault="00F93B40"/>
    <w:p w14:paraId="2B2398F7" w14:textId="77777777" w:rsidR="00F93B40" w:rsidRDefault="00FB5319">
      <w:r>
        <w:t>14</w:t>
      </w:r>
      <w:r w:rsidR="00F93B40">
        <w:t>.</w:t>
      </w:r>
      <w:r w:rsidR="00F93B40">
        <w:tab/>
        <w:t xml:space="preserve">A CAFR is an after-the fact report to citizens and others reminding citizens about the goals the city is working toward, and what happen (both financially and "on the ground") recently. That is not good enough. Ideally, citizens should be aware of what leaders (both elected political, and administrators) face from early on in each budget cycle. The most vocal local citizens are usually those who are angry and unhappy about local taxation and about qualities/levels of essential services. </w:t>
      </w:r>
      <w:r w:rsidR="00551949">
        <w:t>There are two basic strategies local leaders and administrators can take. One alternative is to try to hide the realities, pretend all is well, and hope to avoid conflict with citizens and "bad news" becoming known to potential investors about the city. The other alternative (two) is for local elected leaders and administrators to open up about problems and to engage with loud and/or unhappy citizens.</w:t>
      </w:r>
      <w:r w:rsidR="00551949" w:rsidRPr="002A2124">
        <w:rPr>
          <w:u w:val="single"/>
        </w:rPr>
        <w:t xml:space="preserve"> ASSUME THAT PATH TWO IS THE BETTER PATH.</w:t>
      </w:r>
      <w:r w:rsidR="00551949">
        <w:t xml:space="preserve"> </w:t>
      </w:r>
    </w:p>
    <w:p w14:paraId="0FAFF2CE" w14:textId="77777777" w:rsidR="00551949" w:rsidRDefault="00551949"/>
    <w:p w14:paraId="6C028FB7" w14:textId="77777777" w:rsidR="000D20FE" w:rsidRDefault="00FB5319">
      <w:r>
        <w:t>15</w:t>
      </w:r>
      <w:r w:rsidR="00551949">
        <w:t>a.</w:t>
      </w:r>
      <w:r w:rsidR="00551949">
        <w:tab/>
        <w:t xml:space="preserve">Why must local </w:t>
      </w:r>
      <w:r w:rsidR="00983ED2">
        <w:t>leaders have the kinds of PERSONALITIES to engage with unhappy and sometimes unreasonable people who are angry and sometimes unreasonable?</w:t>
      </w:r>
    </w:p>
    <w:p w14:paraId="3950593D" w14:textId="77777777" w:rsidR="00983ED2" w:rsidRDefault="00983ED2"/>
    <w:tbl>
      <w:tblPr>
        <w:tblStyle w:val="TableGrid"/>
        <w:tblW w:w="0" w:type="auto"/>
        <w:tblLook w:val="04A0" w:firstRow="1" w:lastRow="0" w:firstColumn="1" w:lastColumn="0" w:noHBand="0" w:noVBand="1"/>
      </w:tblPr>
      <w:tblGrid>
        <w:gridCol w:w="9350"/>
      </w:tblGrid>
      <w:tr w:rsidR="00983ED2" w14:paraId="4015CC1D" w14:textId="77777777" w:rsidTr="00983ED2">
        <w:tc>
          <w:tcPr>
            <w:tcW w:w="9576" w:type="dxa"/>
          </w:tcPr>
          <w:p w14:paraId="5A7C5971" w14:textId="382793AC" w:rsidR="00983ED2" w:rsidRDefault="00CA03D5">
            <w:r>
              <w:t>Local leaders ought to have personalities of engaging with unreasonable, unhappy, disgruntled and angry people first to enhance peace and prevent escalation of issues that can lead to combat between the authorities and citizens and secondly to safeguard their reelection plans.</w:t>
            </w:r>
          </w:p>
          <w:p w14:paraId="6F802D8C" w14:textId="77777777" w:rsidR="00983ED2" w:rsidRDefault="00983ED2"/>
          <w:p w14:paraId="23604A79" w14:textId="77777777" w:rsidR="00983ED2" w:rsidRDefault="00983ED2"/>
        </w:tc>
      </w:tr>
    </w:tbl>
    <w:p w14:paraId="1F444B4E" w14:textId="77777777" w:rsidR="00983ED2" w:rsidRDefault="00983ED2"/>
    <w:p w14:paraId="1A09AFDA" w14:textId="77777777" w:rsidR="00A00401" w:rsidRDefault="00FB5319">
      <w:r>
        <w:t>15</w:t>
      </w:r>
      <w:r w:rsidR="008A6383">
        <w:t xml:space="preserve">b. </w:t>
      </w:r>
      <w:r w:rsidR="008A6383">
        <w:tab/>
        <w:t>Are unhappy and possible unreasonable citizens likely to calm down and to begin to engage in reasonable ways once they feel that leaders and others are listing to then? Why or why not?</w:t>
      </w:r>
    </w:p>
    <w:p w14:paraId="00AC00BC" w14:textId="77777777" w:rsidR="008A6383" w:rsidRDefault="008A6383" w:rsidP="008A6383"/>
    <w:tbl>
      <w:tblPr>
        <w:tblStyle w:val="TableGrid"/>
        <w:tblW w:w="0" w:type="auto"/>
        <w:tblLook w:val="04A0" w:firstRow="1" w:lastRow="0" w:firstColumn="1" w:lastColumn="0" w:noHBand="0" w:noVBand="1"/>
      </w:tblPr>
      <w:tblGrid>
        <w:gridCol w:w="9350"/>
      </w:tblGrid>
      <w:tr w:rsidR="008A6383" w14:paraId="3C71B580" w14:textId="77777777" w:rsidTr="005E53D1">
        <w:tc>
          <w:tcPr>
            <w:tcW w:w="9576" w:type="dxa"/>
          </w:tcPr>
          <w:p w14:paraId="0EDE6CF3" w14:textId="7D9A9C06" w:rsidR="008A6383" w:rsidRDefault="00CA03D5" w:rsidP="005E53D1">
            <w:r>
              <w:t xml:space="preserve">Good leaders </w:t>
            </w:r>
            <w:r w:rsidR="00372685">
              <w:t xml:space="preserve">involve their citizens in decision making; meaning that they are closer to the people they are leading. Unreasonable and unhappy citizens can calm down if the leaders </w:t>
            </w:r>
            <w:proofErr w:type="spellStart"/>
            <w:r w:rsidR="00372685">
              <w:t>wil</w:t>
            </w:r>
            <w:proofErr w:type="spellEnd"/>
            <w:r w:rsidR="00372685">
              <w:t xml:space="preserve"> </w:t>
            </w:r>
            <w:r w:rsidR="00372685">
              <w:lastRenderedPageBreak/>
              <w:t xml:space="preserve">consistently be available to listen to their grievances. This is because they will feel important in their locality as they feel that their issues are being considered. </w:t>
            </w:r>
          </w:p>
          <w:p w14:paraId="0606582F" w14:textId="77777777" w:rsidR="008A6383" w:rsidRDefault="008A6383" w:rsidP="005E53D1"/>
        </w:tc>
      </w:tr>
    </w:tbl>
    <w:p w14:paraId="714CD2B4" w14:textId="77777777" w:rsidR="008A6383" w:rsidRDefault="008A6383" w:rsidP="008A6383"/>
    <w:p w14:paraId="2B3C301D" w14:textId="77777777" w:rsidR="00D809B2" w:rsidRDefault="00FB5319">
      <w:r>
        <w:t>15</w:t>
      </w:r>
      <w:r w:rsidR="00D809B2">
        <w:t>c.</w:t>
      </w:r>
      <w:r w:rsidR="00D809B2">
        <w:tab/>
        <w:t>In most cities, the geography is mapped into WARDS and each Ward contains similar kinds of properties. There is for example, usually one or "poor" wards and one or "wealthy" wards. There may be one "at large" elected member of the city commission, but usually each elected member represents similar kinds of people living in similar kinds of citizens. Is this as it should be? Why?</w:t>
      </w:r>
      <w:r w:rsidR="00F07032">
        <w:t xml:space="preserve"> Does this tend to pit "democrats" against "republicans" even if the city elections are not partisan?</w:t>
      </w:r>
    </w:p>
    <w:p w14:paraId="3F0E9197" w14:textId="77777777" w:rsidR="00941948" w:rsidRDefault="00941948" w:rsidP="00941948"/>
    <w:tbl>
      <w:tblPr>
        <w:tblStyle w:val="TableGrid"/>
        <w:tblW w:w="0" w:type="auto"/>
        <w:tblLook w:val="04A0" w:firstRow="1" w:lastRow="0" w:firstColumn="1" w:lastColumn="0" w:noHBand="0" w:noVBand="1"/>
      </w:tblPr>
      <w:tblGrid>
        <w:gridCol w:w="9350"/>
      </w:tblGrid>
      <w:tr w:rsidR="00941948" w14:paraId="2DDF0C6B" w14:textId="77777777" w:rsidTr="005E53D1">
        <w:tc>
          <w:tcPr>
            <w:tcW w:w="9576" w:type="dxa"/>
          </w:tcPr>
          <w:p w14:paraId="2E3642BE" w14:textId="52A4B222" w:rsidR="00941948" w:rsidRDefault="002E5E81" w:rsidP="005E53D1">
            <w:r>
              <w:t xml:space="preserve">Yes. It should be this way. This is because the leaders </w:t>
            </w:r>
            <w:proofErr w:type="gramStart"/>
            <w:r>
              <w:t>is</w:t>
            </w:r>
            <w:proofErr w:type="gramEnd"/>
            <w:r>
              <w:t xml:space="preserve"> elected to represent all wards regardless of their economic status. It is up to him or her to prudently ensure equitable distribution of resources to the poor wards. Electing one person in the city commission serves as a unifying factor between the rich and the poor and not creating the republicans versus democrat’s parity.</w:t>
            </w:r>
          </w:p>
          <w:p w14:paraId="72AB3A0D" w14:textId="77777777" w:rsidR="00941948" w:rsidRDefault="00941948" w:rsidP="005E53D1"/>
        </w:tc>
      </w:tr>
    </w:tbl>
    <w:p w14:paraId="60EC3CE9" w14:textId="77777777" w:rsidR="00941948" w:rsidRDefault="00941948" w:rsidP="00941948"/>
    <w:p w14:paraId="61E9A0E4" w14:textId="1F1EEEB0" w:rsidR="00F07032" w:rsidRDefault="00FB5319">
      <w:r>
        <w:t>16</w:t>
      </w:r>
      <w:r w:rsidR="00936616">
        <w:t>.</w:t>
      </w:r>
      <w:r w:rsidR="00936616">
        <w:tab/>
      </w:r>
      <w:r w:rsidR="00100112">
        <w:t xml:space="preserve">In some parts of Albany there are serious problems regarding people dumping old furniture and other things on vacant lots. </w:t>
      </w:r>
      <w:r w:rsidR="006877BA">
        <w:t xml:space="preserve">The owners of such vacant properties are then required to pay to have the stuff carried to the landfill. These dumping sites are probably often the results of people being evicted from rental properties. How could this situation be faced differently within the city from a budgeting perspective? Is </w:t>
      </w:r>
      <w:proofErr w:type="spellStart"/>
      <w:r w:rsidR="00BA3BAD">
        <w:t>k</w:t>
      </w:r>
      <w:r w:rsidR="0082269C">
        <w:t>an</w:t>
      </w:r>
      <w:proofErr w:type="spellEnd"/>
      <w:r w:rsidR="006877BA">
        <w:t xml:space="preserve"> opportunity for the city of provide a needed service? Explain.</w:t>
      </w:r>
    </w:p>
    <w:p w14:paraId="5ACE3A65" w14:textId="77777777" w:rsidR="006877BA" w:rsidRDefault="006877BA"/>
    <w:p w14:paraId="34A3204A" w14:textId="77777777" w:rsidR="006877BA" w:rsidRDefault="006877BA" w:rsidP="006877BA"/>
    <w:tbl>
      <w:tblPr>
        <w:tblStyle w:val="TableGrid"/>
        <w:tblW w:w="0" w:type="auto"/>
        <w:tblLook w:val="04A0" w:firstRow="1" w:lastRow="0" w:firstColumn="1" w:lastColumn="0" w:noHBand="0" w:noVBand="1"/>
      </w:tblPr>
      <w:tblGrid>
        <w:gridCol w:w="9350"/>
      </w:tblGrid>
      <w:tr w:rsidR="006877BA" w14:paraId="2C3905ED" w14:textId="77777777" w:rsidTr="005E53D1">
        <w:tc>
          <w:tcPr>
            <w:tcW w:w="9576" w:type="dxa"/>
          </w:tcPr>
          <w:p w14:paraId="711A8A6D" w14:textId="40909357" w:rsidR="006877BA" w:rsidRDefault="00B5171A" w:rsidP="005E53D1">
            <w:r>
              <w:t xml:space="preserve">From a budgeting perspective, the city should create a fund for purchase of large bins to be distributed to every large residential area within the wards and a transport mechanism to the landfill. These bins should </w:t>
            </w:r>
            <w:r w:rsidR="0082269C">
              <w:t xml:space="preserve">be </w:t>
            </w:r>
            <w:r>
              <w:t xml:space="preserve">the disposal areas for these furniture and other debris. It is a great opportunity for the </w:t>
            </w:r>
            <w:r w:rsidR="0082269C">
              <w:t xml:space="preserve">municipality to offer the service as it will encourage a clean environment as well as in reducing conflicts among owners of vacant lots, tenants and building landlords. </w:t>
            </w:r>
          </w:p>
          <w:p w14:paraId="223D65BF" w14:textId="77777777" w:rsidR="006877BA" w:rsidRDefault="006877BA" w:rsidP="005E53D1"/>
          <w:p w14:paraId="28750477" w14:textId="77777777" w:rsidR="006877BA" w:rsidRDefault="006877BA" w:rsidP="005E53D1"/>
        </w:tc>
      </w:tr>
    </w:tbl>
    <w:p w14:paraId="22A50D85" w14:textId="77777777" w:rsidR="006877BA" w:rsidRDefault="006877BA" w:rsidP="006877BA"/>
    <w:p w14:paraId="3104788A" w14:textId="77777777" w:rsidR="006877BA" w:rsidRDefault="00FB5319">
      <w:r>
        <w:t>17</w:t>
      </w:r>
      <w:r w:rsidR="00E161A3">
        <w:t>.</w:t>
      </w:r>
      <w:r w:rsidR="00E161A3">
        <w:tab/>
        <w:t>When government leaders attempt to communicate about the local budget to local citizens, what should be taking into account? Native language of the people to be reached? Method of communication. Grade-level of language used? What else?</w:t>
      </w:r>
    </w:p>
    <w:p w14:paraId="13911C14" w14:textId="77777777" w:rsidR="00E161A3" w:rsidRDefault="00E161A3" w:rsidP="00E161A3"/>
    <w:tbl>
      <w:tblPr>
        <w:tblStyle w:val="TableGrid"/>
        <w:tblW w:w="0" w:type="auto"/>
        <w:tblLook w:val="04A0" w:firstRow="1" w:lastRow="0" w:firstColumn="1" w:lastColumn="0" w:noHBand="0" w:noVBand="1"/>
      </w:tblPr>
      <w:tblGrid>
        <w:gridCol w:w="9350"/>
      </w:tblGrid>
      <w:tr w:rsidR="00E161A3" w14:paraId="78A0D8CB" w14:textId="77777777" w:rsidTr="005E53D1">
        <w:tc>
          <w:tcPr>
            <w:tcW w:w="9576" w:type="dxa"/>
          </w:tcPr>
          <w:p w14:paraId="40EEEBDB" w14:textId="1E3444A8" w:rsidR="00E161A3" w:rsidRDefault="006A35CE" w:rsidP="005E53D1">
            <w:r>
              <w:t>In communicating to locals about budgets, the language of the natives is key</w:t>
            </w:r>
            <w:r w:rsidR="00182CF3">
              <w:t xml:space="preserve">. The communication method (audio visual, verbal written among others is also important coupled with the language grade level utilized. </w:t>
            </w:r>
            <w:r w:rsidR="00E87C3B">
              <w:t>Other factors to be considered are the literacy levels of the locals</w:t>
            </w:r>
            <w:r w:rsidR="001F30CC">
              <w:t xml:space="preserve">, government policy, Cost incurred in the communication of the </w:t>
            </w:r>
            <w:proofErr w:type="gramStart"/>
            <w:r w:rsidR="001F30CC">
              <w:t>budget ,</w:t>
            </w:r>
            <w:proofErr w:type="gramEnd"/>
            <w:r w:rsidR="001F30CC">
              <w:t xml:space="preserve">  and number of the people in need of the budgetary report</w:t>
            </w:r>
          </w:p>
          <w:p w14:paraId="28DAFA11" w14:textId="77777777" w:rsidR="00E161A3" w:rsidRDefault="00E161A3" w:rsidP="005E53D1"/>
          <w:p w14:paraId="73B818EB" w14:textId="77777777" w:rsidR="00E161A3" w:rsidRDefault="00E161A3" w:rsidP="005E53D1"/>
        </w:tc>
      </w:tr>
    </w:tbl>
    <w:p w14:paraId="4DA9D377" w14:textId="77777777" w:rsidR="00E161A3" w:rsidRDefault="00E161A3" w:rsidP="00E161A3"/>
    <w:p w14:paraId="4A4FCD97" w14:textId="02AFE403" w:rsidR="00E161A3" w:rsidRDefault="00E161A3"/>
    <w:sectPr w:rsidR="00E161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B53"/>
    <w:rsid w:val="000630B3"/>
    <w:rsid w:val="000D20FE"/>
    <w:rsid w:val="00100112"/>
    <w:rsid w:val="00107272"/>
    <w:rsid w:val="00145F10"/>
    <w:rsid w:val="0015412A"/>
    <w:rsid w:val="00182CF3"/>
    <w:rsid w:val="001C39D1"/>
    <w:rsid w:val="001F30CC"/>
    <w:rsid w:val="002A2124"/>
    <w:rsid w:val="002B63B1"/>
    <w:rsid w:val="002E5E81"/>
    <w:rsid w:val="00321B22"/>
    <w:rsid w:val="00346486"/>
    <w:rsid w:val="00372685"/>
    <w:rsid w:val="003851ED"/>
    <w:rsid w:val="004628E5"/>
    <w:rsid w:val="004D1770"/>
    <w:rsid w:val="004F6B53"/>
    <w:rsid w:val="00504503"/>
    <w:rsid w:val="00514592"/>
    <w:rsid w:val="00545A5E"/>
    <w:rsid w:val="00551949"/>
    <w:rsid w:val="005C5A41"/>
    <w:rsid w:val="006142A5"/>
    <w:rsid w:val="0063539C"/>
    <w:rsid w:val="00672BD6"/>
    <w:rsid w:val="006877BA"/>
    <w:rsid w:val="00697711"/>
    <w:rsid w:val="006A06D9"/>
    <w:rsid w:val="006A35CE"/>
    <w:rsid w:val="006F037D"/>
    <w:rsid w:val="0082269C"/>
    <w:rsid w:val="008249E2"/>
    <w:rsid w:val="00841FBE"/>
    <w:rsid w:val="008938EC"/>
    <w:rsid w:val="008A6383"/>
    <w:rsid w:val="009017AC"/>
    <w:rsid w:val="00927FF6"/>
    <w:rsid w:val="00932820"/>
    <w:rsid w:val="00936616"/>
    <w:rsid w:val="00941948"/>
    <w:rsid w:val="00983ED2"/>
    <w:rsid w:val="009A2A2C"/>
    <w:rsid w:val="00A00401"/>
    <w:rsid w:val="00A02346"/>
    <w:rsid w:val="00A302C8"/>
    <w:rsid w:val="00A46316"/>
    <w:rsid w:val="00A60AB6"/>
    <w:rsid w:val="00B05C29"/>
    <w:rsid w:val="00B5171A"/>
    <w:rsid w:val="00BA3BAD"/>
    <w:rsid w:val="00C1228B"/>
    <w:rsid w:val="00CA03D5"/>
    <w:rsid w:val="00D46B57"/>
    <w:rsid w:val="00D7040A"/>
    <w:rsid w:val="00D809B2"/>
    <w:rsid w:val="00E161A3"/>
    <w:rsid w:val="00E61790"/>
    <w:rsid w:val="00E61836"/>
    <w:rsid w:val="00E741E4"/>
    <w:rsid w:val="00E87C3B"/>
    <w:rsid w:val="00EC4CA8"/>
    <w:rsid w:val="00ED13A7"/>
    <w:rsid w:val="00F07032"/>
    <w:rsid w:val="00F93B40"/>
    <w:rsid w:val="00FB5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1681B"/>
  <w15:docId w15:val="{2164F867-DEB6-485C-995B-EFF7CC6FC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3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1526</Words>
  <Characters>8703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Georgia Health Sciences University</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dc:creator>
  <cp:lastModifiedBy>USER</cp:lastModifiedBy>
  <cp:revision>3</cp:revision>
  <dcterms:created xsi:type="dcterms:W3CDTF">2021-04-15T10:32:00Z</dcterms:created>
  <dcterms:modified xsi:type="dcterms:W3CDTF">2021-04-15T10:34:00Z</dcterms:modified>
</cp:coreProperties>
</file>